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40" w:rsidRDefault="00323940" w:rsidP="00323940"/>
    <w:p w:rsidR="00323940" w:rsidRDefault="00323940" w:rsidP="00323940"/>
    <w:p w:rsidR="00323940" w:rsidRDefault="00323940" w:rsidP="00323940"/>
    <w:p w:rsidR="00323940" w:rsidRDefault="00323940" w:rsidP="00323940">
      <w:pPr>
        <w:rPr>
          <w:color w:val="1F497D"/>
        </w:rPr>
      </w:pPr>
    </w:p>
    <w:p w:rsidR="00323940" w:rsidRDefault="00323940" w:rsidP="00323940">
      <w:pPr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2305050" cy="942975"/>
            <wp:effectExtent l="0" t="0" r="0" b="9525"/>
            <wp:docPr id="4" name="Slika 4" descr="cid:image001.png@01CEC67C.91FF60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C67C.91FF60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940" w:rsidRDefault="00323940" w:rsidP="00323940">
      <w:pPr>
        <w:jc w:val="center"/>
        <w:rPr>
          <w:color w:val="1F497D"/>
        </w:rPr>
      </w:pPr>
    </w:p>
    <w:p w:rsidR="00323940" w:rsidRDefault="00323940" w:rsidP="00323940">
      <w:pPr>
        <w:jc w:val="center"/>
        <w:rPr>
          <w:b/>
          <w:bCs/>
          <w:color w:val="E36C0A"/>
        </w:rPr>
      </w:pPr>
      <w:r>
        <w:rPr>
          <w:b/>
          <w:bCs/>
          <w:color w:val="E36C0A"/>
        </w:rPr>
        <w:t>Mednarodni teden odprtega dostopa, 21. oktober do 25. oktober 2013</w:t>
      </w:r>
    </w:p>
    <w:p w:rsidR="00323940" w:rsidRDefault="00323940" w:rsidP="00323940">
      <w:pPr>
        <w:jc w:val="center"/>
        <w:rPr>
          <w:b/>
          <w:bCs/>
          <w:color w:val="E36C0A"/>
        </w:rPr>
      </w:pPr>
      <w:hyperlink r:id="rId8" w:history="1">
        <w:r>
          <w:rPr>
            <w:rStyle w:val="Hiperpovezava"/>
            <w:b/>
            <w:bCs/>
            <w:color w:val="E36C0A"/>
          </w:rPr>
          <w:t>www.openaccessweek.si</w:t>
        </w:r>
      </w:hyperlink>
    </w:p>
    <w:p w:rsidR="00323940" w:rsidRDefault="00323940" w:rsidP="00323940">
      <w:pPr>
        <w:jc w:val="center"/>
        <w:rPr>
          <w:color w:val="E36C0A"/>
        </w:rPr>
      </w:pPr>
    </w:p>
    <w:p w:rsidR="00323940" w:rsidRDefault="00323940" w:rsidP="00323940">
      <w:pPr>
        <w:jc w:val="center"/>
        <w:rPr>
          <w:color w:val="1F497D"/>
        </w:rPr>
      </w:pPr>
    </w:p>
    <w:p w:rsidR="00323940" w:rsidRDefault="00323940" w:rsidP="00323940">
      <w:pPr>
        <w:jc w:val="center"/>
        <w:rPr>
          <w:color w:val="1F497D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3165"/>
        <w:gridCol w:w="3139"/>
      </w:tblGrid>
      <w:tr w:rsidR="00323940" w:rsidTr="00323940">
        <w:trPr>
          <w:jc w:val="center"/>
        </w:trPr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40" w:rsidRDefault="00323940">
            <w:pPr>
              <w:spacing w:line="276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028700" cy="676275"/>
                  <wp:effectExtent l="0" t="0" r="0" b="9525"/>
                  <wp:docPr id="3" name="Slika 3" descr="cid:image002.jpg@01CEC67C.91FF60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jpg@01CEC67C.91FF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40" w:rsidRDefault="00323940">
            <w:pPr>
              <w:spacing w:line="276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800225" cy="800100"/>
                  <wp:effectExtent l="0" t="0" r="9525" b="0"/>
                  <wp:docPr id="2" name="Slika 2" descr="cid:image003.jpg@01CEC67C.91FF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jpg@01CEC67C.91FF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40" w:rsidRDefault="00323940">
            <w:pPr>
              <w:spacing w:line="276" w:lineRule="auto"/>
              <w:jc w:val="center"/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1695450" cy="571500"/>
                  <wp:effectExtent l="0" t="0" r="0" b="0"/>
                  <wp:docPr id="1" name="Slika 1" descr="cid:image004.gif@01CEC67C.91FF600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4.gif@01CEC67C.91FF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940" w:rsidRDefault="00323940" w:rsidP="00323940">
      <w:pPr>
        <w:jc w:val="center"/>
        <w:rPr>
          <w:color w:val="1F497D"/>
        </w:rPr>
      </w:pPr>
    </w:p>
    <w:p w:rsidR="00323940" w:rsidRDefault="00323940" w:rsidP="00323940">
      <w:pPr>
        <w:jc w:val="center"/>
        <w:rPr>
          <w:color w:val="000000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Centralna tehniška knjižnica Univerze v Ljubljani  v sodelovanju z Univerzo v Ljubljani in 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Univerzitetna knjižnica Maribor Univerze v Mariboru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s tehnično podporo Arnesa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vas ob mednarodnem tednu odprtega dostopa vabita na videokonferenčni pogovor s profesorjem ameriške univerze Harvard dr. Petrom </w:t>
      </w:r>
      <w:proofErr w:type="spellStart"/>
      <w:r>
        <w:rPr>
          <w:sz w:val="24"/>
          <w:szCs w:val="24"/>
        </w:rPr>
        <w:t>Suberjem</w:t>
      </w:r>
      <w:proofErr w:type="spellEnd"/>
      <w:r>
        <w:rPr>
          <w:sz w:val="24"/>
          <w:szCs w:val="24"/>
        </w:rPr>
        <w:t>, enim izmed utemeljiteljev  ideje odprtega dostopa do znanstvenih del.</w:t>
      </w:r>
    </w:p>
    <w:p w:rsidR="00323940" w:rsidRDefault="00323940" w:rsidP="00323940"/>
    <w:p w:rsidR="00323940" w:rsidRDefault="00323940" w:rsidP="00323940"/>
    <w:p w:rsidR="00323940" w:rsidRDefault="00323940" w:rsidP="00323940">
      <w:pPr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 xml:space="preserve">Pogovor bo potekal 21. oktobra 2013 ob 15.30 uri hkrati v zbornični dvorani rektorata Univerze v Ljubljani (moderator Miro Pušnik, direktor CTK) </w:t>
      </w:r>
    </w:p>
    <w:p w:rsidR="00323940" w:rsidRDefault="00323940" w:rsidP="00323940">
      <w:pPr>
        <w:jc w:val="center"/>
        <w:rPr>
          <w:b/>
          <w:bCs/>
          <w:color w:val="1F497D"/>
        </w:rPr>
      </w:pPr>
    </w:p>
    <w:p w:rsidR="00323940" w:rsidRDefault="00323940" w:rsidP="00323940">
      <w:pPr>
        <w:jc w:val="center"/>
        <w:rPr>
          <w:b/>
          <w:bCs/>
          <w:color w:val="E36C0A"/>
          <w:sz w:val="28"/>
          <w:szCs w:val="28"/>
        </w:rPr>
      </w:pPr>
      <w:r>
        <w:rPr>
          <w:b/>
          <w:bCs/>
          <w:color w:val="E36C0A"/>
          <w:sz w:val="28"/>
          <w:szCs w:val="28"/>
        </w:rPr>
        <w:t xml:space="preserve"> in </w:t>
      </w:r>
      <w:proofErr w:type="spellStart"/>
      <w:r>
        <w:rPr>
          <w:b/>
          <w:bCs/>
          <w:color w:val="E36C0A"/>
          <w:sz w:val="28"/>
          <w:szCs w:val="28"/>
        </w:rPr>
        <w:t>Podreccini</w:t>
      </w:r>
      <w:proofErr w:type="spellEnd"/>
      <w:r>
        <w:rPr>
          <w:b/>
          <w:bCs/>
          <w:color w:val="E36C0A"/>
          <w:sz w:val="28"/>
          <w:szCs w:val="28"/>
        </w:rPr>
        <w:t xml:space="preserve"> dvorani rektorata Univerze v Mariboru (moderator prof. dr. </w:t>
      </w:r>
      <w:proofErr w:type="spellStart"/>
      <w:r>
        <w:rPr>
          <w:b/>
          <w:bCs/>
          <w:color w:val="E36C0A"/>
          <w:sz w:val="28"/>
          <w:szCs w:val="28"/>
        </w:rPr>
        <w:t>Jozsef</w:t>
      </w:r>
      <w:proofErr w:type="spellEnd"/>
      <w:r>
        <w:rPr>
          <w:b/>
          <w:bCs/>
          <w:color w:val="E36C0A"/>
          <w:sz w:val="28"/>
          <w:szCs w:val="28"/>
        </w:rPr>
        <w:t xml:space="preserve"> Györkös).</w:t>
      </w:r>
    </w:p>
    <w:p w:rsidR="00323940" w:rsidRDefault="00323940" w:rsidP="00323940">
      <w:pPr>
        <w:jc w:val="center"/>
        <w:rPr>
          <w:b/>
          <w:bCs/>
          <w:color w:val="1F497D"/>
        </w:rPr>
      </w:pPr>
    </w:p>
    <w:p w:rsidR="00323940" w:rsidRDefault="00323940" w:rsidP="00323940">
      <w:pPr>
        <w:jc w:val="center"/>
        <w:rPr>
          <w:b/>
          <w:bCs/>
          <w:color w:val="1F497D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Peter </w:t>
      </w:r>
      <w:proofErr w:type="spellStart"/>
      <w:r>
        <w:rPr>
          <w:sz w:val="24"/>
          <w:szCs w:val="24"/>
        </w:rPr>
        <w:t>Suber</w:t>
      </w:r>
      <w:proofErr w:type="spellEnd"/>
      <w:r>
        <w:rPr>
          <w:sz w:val="24"/>
          <w:szCs w:val="24"/>
        </w:rPr>
        <w:t xml:space="preserve"> je eden izmed utemeljiteljev ideje odprtega dostopa do znanstvenih del in raziskovalnih podatkov.  Bil je član BOAI – </w:t>
      </w:r>
      <w:proofErr w:type="spellStart"/>
      <w:r>
        <w:rPr>
          <w:sz w:val="24"/>
          <w:szCs w:val="24"/>
        </w:rPr>
        <w:t>Budapest</w:t>
      </w:r>
      <w:proofErr w:type="spellEnd"/>
      <w:r>
        <w:rPr>
          <w:sz w:val="24"/>
          <w:szCs w:val="24"/>
        </w:rPr>
        <w:t xml:space="preserve"> Open Access </w:t>
      </w:r>
      <w:proofErr w:type="spellStart"/>
      <w:r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, ki je leta 2001 položila temelje novega modela licenciranja znanstvenih objav.  Leta 2003 je bil imenovan na mesto raziskovalca v organizaciji SPARC – </w:t>
      </w:r>
      <w:proofErr w:type="spellStart"/>
      <w:r>
        <w:rPr>
          <w:sz w:val="24"/>
          <w:szCs w:val="24"/>
        </w:rPr>
        <w:t>Scholarly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Resources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Coalition</w:t>
      </w:r>
      <w:proofErr w:type="spellEnd"/>
      <w:r>
        <w:rPr>
          <w:sz w:val="24"/>
          <w:szCs w:val="24"/>
        </w:rPr>
        <w:t xml:space="preserve">.  Od leta 2009 deluje na Univerzi Harvard. Leta 2011 je postal direktor HOAP – Harvard Open Access Project, leta 2013 pa še direktor pisarne »Harvard Office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Scholarly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Communication</w:t>
      </w:r>
      <w:proofErr w:type="spellEnd"/>
      <w:r>
        <w:rPr>
          <w:sz w:val="24"/>
          <w:szCs w:val="24"/>
        </w:rPr>
        <w:t xml:space="preserve">«.  Je avtor številnih publikacij, še posebej poznana je njegova knjiga Open Access (v OA dostopna na </w:t>
      </w:r>
      <w:hyperlink r:id="rId17" w:history="1">
        <w:r>
          <w:rPr>
            <w:rStyle w:val="Hiperpovezava"/>
            <w:color w:val="auto"/>
            <w:sz w:val="24"/>
            <w:szCs w:val="24"/>
          </w:rPr>
          <w:t>http://mitpress.mit.edu/books/open-access</w:t>
        </w:r>
      </w:hyperlink>
      <w:r>
        <w:rPr>
          <w:sz w:val="24"/>
          <w:szCs w:val="24"/>
        </w:rPr>
        <w:t>).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odprti interaktivni diskusiji s poudarkom na dosedanjih izkušnjah v Sloveniji bomo razpravljali o: pomenu in  licenciranju odprtega dostopa,  </w:t>
      </w: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odnosu založnikov do  odprtega dostopa,  o zahtevah evropskih in ameriških znanstvenoraziskovalnih politik,  </w:t>
      </w: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o sistemih  vrednotenja ter o  odmevnosti znanstvenega dela v odprtem dostopu.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Udeleženci ste vljudno vabljeni k aktivnemu sodelovanju.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Zaradi lažje organizacije mednarodnega pogovora vas prosimo za predhodno prijavo</w:t>
      </w: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e- naslov </w:t>
      </w:r>
      <w:hyperlink r:id="rId18" w:history="1">
        <w:r>
          <w:rPr>
            <w:rStyle w:val="Hiperpovezava"/>
            <w:color w:val="040498"/>
            <w:sz w:val="24"/>
            <w:szCs w:val="24"/>
          </w:rPr>
          <w:t>irena.jaksa@ctk.uni-lj.si</w:t>
        </w:r>
      </w:hyperlink>
      <w:r>
        <w:rPr>
          <w:color w:val="190498"/>
          <w:sz w:val="24"/>
          <w:szCs w:val="24"/>
        </w:rPr>
        <w:t xml:space="preserve"> </w:t>
      </w:r>
      <w:r>
        <w:rPr>
          <w:sz w:val="24"/>
          <w:szCs w:val="24"/>
        </w:rPr>
        <w:t xml:space="preserve">(Ljubljana) in </w:t>
      </w:r>
      <w:hyperlink r:id="rId19" w:history="1">
        <w:r>
          <w:rPr>
            <w:rStyle w:val="Hiperpovezava"/>
            <w:color w:val="040498"/>
            <w:sz w:val="24"/>
            <w:szCs w:val="24"/>
          </w:rPr>
          <w:t>dunja.legat</w:t>
        </w:r>
        <w:r>
          <w:rPr>
            <w:rStyle w:val="Hiperpovezava"/>
            <w:color w:val="040498"/>
            <w:sz w:val="24"/>
            <w:szCs w:val="24"/>
            <w:lang w:val="en-US"/>
          </w:rPr>
          <w:t>@um.s</w:t>
        </w:r>
        <w:proofErr w:type="spellStart"/>
        <w:r>
          <w:rPr>
            <w:rStyle w:val="Hiperpovezava"/>
            <w:color w:val="040498"/>
            <w:sz w:val="24"/>
            <w:szCs w:val="24"/>
            <w:lang w:val="en-US"/>
          </w:rPr>
          <w:t>i</w:t>
        </w:r>
        <w:proofErr w:type="spellEnd"/>
      </w:hyperlink>
      <w:r>
        <w:rPr>
          <w:color w:val="17375E"/>
          <w:sz w:val="24"/>
          <w:szCs w:val="24"/>
        </w:rPr>
        <w:t xml:space="preserve"> </w:t>
      </w:r>
      <w:r>
        <w:rPr>
          <w:sz w:val="24"/>
          <w:szCs w:val="24"/>
        </w:rPr>
        <w:t xml:space="preserve">(Maribor). 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Videokonferenčni pogovor bo mogoče spremljati tudi preko spleta.</w:t>
      </w:r>
      <w:r>
        <w:rPr>
          <w:sz w:val="24"/>
          <w:szCs w:val="24"/>
        </w:rPr>
        <w:t xml:space="preserve"> </w:t>
      </w: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Spletni naslov bo </w:t>
      </w:r>
      <w:r>
        <w:rPr>
          <w:color w:val="000000"/>
          <w:sz w:val="24"/>
          <w:szCs w:val="24"/>
          <w:highlight w:val="green"/>
        </w:rPr>
        <w:t xml:space="preserve">naknadno </w:t>
      </w:r>
      <w:r>
        <w:rPr>
          <w:sz w:val="24"/>
          <w:szCs w:val="24"/>
          <w:highlight w:val="green"/>
        </w:rPr>
        <w:t>objavljen na spletnih straneh Centralne tehniške knjižnice (</w:t>
      </w:r>
      <w:hyperlink r:id="rId20" w:history="1">
        <w:r>
          <w:rPr>
            <w:rStyle w:val="Hiperpovezava"/>
            <w:color w:val="040498"/>
            <w:sz w:val="24"/>
            <w:szCs w:val="24"/>
            <w:highlight w:val="green"/>
          </w:rPr>
          <w:t>http://www.ctk.uni-lj.si/</w:t>
        </w:r>
      </w:hyperlink>
      <w:r>
        <w:rPr>
          <w:sz w:val="24"/>
          <w:szCs w:val="24"/>
          <w:highlight w:val="green"/>
        </w:rPr>
        <w:t>) in Univerzitetne knjižnice Maribor (</w:t>
      </w:r>
      <w:hyperlink r:id="rId21" w:history="1">
        <w:r>
          <w:rPr>
            <w:rStyle w:val="Hiperpovezava"/>
            <w:color w:val="auto"/>
            <w:sz w:val="24"/>
            <w:szCs w:val="24"/>
            <w:highlight w:val="green"/>
          </w:rPr>
          <w:t>www.ukm.si</w:t>
        </w:r>
      </w:hyperlink>
      <w:r>
        <w:rPr>
          <w:sz w:val="24"/>
          <w:szCs w:val="24"/>
          <w:highlight w:val="green"/>
        </w:rPr>
        <w:t>).</w:t>
      </w: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</w:p>
    <w:p w:rsidR="00323940" w:rsidRDefault="00323940" w:rsidP="00323940">
      <w:pPr>
        <w:jc w:val="center"/>
        <w:rPr>
          <w:sz w:val="24"/>
          <w:szCs w:val="24"/>
        </w:rPr>
      </w:pPr>
      <w:r>
        <w:rPr>
          <w:sz w:val="24"/>
          <w:szCs w:val="24"/>
        </w:rPr>
        <w:t>Vljudno vabljeni!</w:t>
      </w:r>
    </w:p>
    <w:p w:rsidR="00323940" w:rsidRDefault="00323940" w:rsidP="00323940"/>
    <w:p w:rsidR="005463C1" w:rsidRDefault="005463C1">
      <w:bookmarkStart w:id="0" w:name="_GoBack"/>
      <w:bookmarkEnd w:id="0"/>
    </w:p>
    <w:sectPr w:rsidR="0054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40"/>
    <w:rsid w:val="00323940"/>
    <w:rsid w:val="005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3940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2394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9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940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23940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2394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9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94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accessweek.si" TargetMode="External"/><Relationship Id="rId13" Type="http://schemas.openxmlformats.org/officeDocument/2006/relationships/image" Target="cid:image003.jpg@01CEC67C.91FF6000" TargetMode="External"/><Relationship Id="rId18" Type="http://schemas.openxmlformats.org/officeDocument/2006/relationships/hyperlink" Target="mailto:irena.jaksa@ctk.uni-lj.s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km.si" TargetMode="External"/><Relationship Id="rId7" Type="http://schemas.openxmlformats.org/officeDocument/2006/relationships/image" Target="cid:image001.png@01CEC67C.91FF6000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mitpress.mit.edu/books/open-access" TargetMode="External"/><Relationship Id="rId2" Type="http://schemas.microsoft.com/office/2007/relationships/stylesWithEffects" Target="stylesWithEffects.xml"/><Relationship Id="rId16" Type="http://schemas.openxmlformats.org/officeDocument/2006/relationships/image" Target="cid:image004.gif@01CEC67C.91FF6000" TargetMode="External"/><Relationship Id="rId20" Type="http://schemas.openxmlformats.org/officeDocument/2006/relationships/hyperlink" Target="http://www.ctk.uni-lj.si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2.jpg@01CEC67C.91FF6000" TargetMode="External"/><Relationship Id="rId5" Type="http://schemas.openxmlformats.org/officeDocument/2006/relationships/hyperlink" Target="http://www.openaccess.si/" TargetMode="Externa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dunja.legat@um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si/imgres?sa=X&amp;hl=sl&amp;biw=1680&amp;bih=832&amp;tbm=isch&amp;tbnid=EVri-hp0NH_cqM:&amp;imgrefurl=http://www.ctk.uni-lj.si/dogodki/posvet2002/&amp;docid=WMhhVj5sgjmEyM&amp;imgurl=http://www.ctk.uni-lj.si/dogodki/posvet2002/logo-ctk.gif&amp;w=136&amp;h=89&amp;ei=PJRWUtV90NeyBtbugPAH&amp;zoom=1&amp;iact=rc&amp;dur=406&amp;page=2&amp;tbnh=71&amp;tbnw=103&amp;start=43&amp;ndsp=61&amp;ved=1t:429,r:53,s:0,i:241&amp;tx=58&amp;ty=34" TargetMode="External"/><Relationship Id="rId14" Type="http://schemas.openxmlformats.org/officeDocument/2006/relationships/hyperlink" Target="http://www.arnes.s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2013-10-16T09:59:00Z</dcterms:created>
  <dcterms:modified xsi:type="dcterms:W3CDTF">2013-10-16T09:59:00Z</dcterms:modified>
</cp:coreProperties>
</file>