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CE4" w:rsidRPr="005A24D6" w:rsidRDefault="00155CE4" w:rsidP="00155CE4">
      <w:pPr>
        <w:spacing w:after="0" w:line="240" w:lineRule="auto"/>
        <w:rPr>
          <w:rFonts w:ascii="Arial" w:hAnsi="Arial" w:cs="Arial"/>
          <w:sz w:val="32"/>
          <w:szCs w:val="32"/>
        </w:rPr>
      </w:pPr>
    </w:p>
    <w:p w:rsidR="00155CE4" w:rsidRPr="00C166D7" w:rsidRDefault="00D0525D" w:rsidP="00155CE4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 kreativni poti do praktičnega znanja</w:t>
      </w:r>
      <w:r w:rsidR="00BB3531">
        <w:rPr>
          <w:rFonts w:ascii="Arial" w:hAnsi="Arial" w:cs="Arial"/>
          <w:b/>
          <w:sz w:val="28"/>
          <w:szCs w:val="28"/>
        </w:rPr>
        <w:t xml:space="preserve"> – Univerza v Ljubljani </w:t>
      </w:r>
    </w:p>
    <w:p w:rsidR="00155CE4" w:rsidRPr="006D1A13" w:rsidRDefault="00155CE4" w:rsidP="00155CE4">
      <w:pPr>
        <w:spacing w:after="0" w:line="240" w:lineRule="auto"/>
        <w:rPr>
          <w:rFonts w:ascii="Arial" w:hAnsi="Arial" w:cs="Arial"/>
          <w:b/>
          <w:i/>
        </w:rPr>
      </w:pPr>
    </w:p>
    <w:p w:rsidR="006D1A13" w:rsidRPr="006D1A13" w:rsidRDefault="006D1A13" w:rsidP="006D1A13">
      <w:pPr>
        <w:spacing w:after="0" w:line="240" w:lineRule="auto"/>
        <w:contextualSpacing/>
        <w:rPr>
          <w:rFonts w:ascii="Arial" w:eastAsia="Times New Roman" w:hAnsi="Arial" w:cs="Arial"/>
          <w:b/>
          <w:i/>
          <w:lang w:eastAsia="sl-SI"/>
        </w:rPr>
      </w:pPr>
      <w:r w:rsidRPr="006D1A13">
        <w:rPr>
          <w:rFonts w:ascii="Arial" w:eastAsiaTheme="minorEastAsia" w:hAnsi="Arial" w:cs="Arial"/>
          <w:b/>
          <w:i/>
          <w:iCs/>
          <w:color w:val="000000" w:themeColor="text1"/>
          <w:kern w:val="24"/>
          <w:lang w:eastAsia="sl-SI"/>
        </w:rPr>
        <w:t>»Projekt delno financira Evropska unija iz Evropskega socialnega sklada. Projekt se izvaja v okviru Operativnega programa razvoja človeških virov za obdobje 2007-2013, 1. razvojne prioritete  » Spodbujanje podjetništva in prilagodljivosti« ter prednostne usmeritve 1.3: »Štipendijske sheme</w:t>
      </w:r>
      <w:r w:rsidRPr="006D1A13">
        <w:rPr>
          <w:rFonts w:ascii="Arial" w:eastAsiaTheme="minorEastAsia" w:hAnsi="Arial" w:cs="Arial"/>
          <w:b/>
          <w:i/>
          <w:color w:val="000000" w:themeColor="text1"/>
          <w:kern w:val="24"/>
          <w:lang w:eastAsia="sl-SI"/>
        </w:rPr>
        <w:t>«, v okviru potrjene operacije » Po kreativni poti do praktičnega znanja«.</w:t>
      </w:r>
    </w:p>
    <w:p w:rsidR="00155CE4" w:rsidRPr="005A24D6" w:rsidRDefault="00155CE4" w:rsidP="00155CE4">
      <w:pPr>
        <w:spacing w:after="0" w:line="240" w:lineRule="auto"/>
        <w:jc w:val="both"/>
        <w:rPr>
          <w:rFonts w:ascii="Arial" w:hAnsi="Arial" w:cs="Arial"/>
          <w:b/>
        </w:rPr>
      </w:pPr>
    </w:p>
    <w:p w:rsidR="00155CE4" w:rsidRDefault="00BD4669" w:rsidP="00155CE4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noProof/>
          <w:sz w:val="20"/>
          <w:szCs w:val="24"/>
          <w:lang w:eastAsia="sl-SI"/>
        </w:rPr>
        <w:drawing>
          <wp:inline distT="0" distB="0" distL="0" distR="0" wp14:anchorId="4F073CC1" wp14:editId="63B29D6A">
            <wp:extent cx="2003425" cy="723265"/>
            <wp:effectExtent l="0" t="0" r="0" b="635"/>
            <wp:docPr id="5" name="Slika 5" descr="C:\Users\purgal\Desktop\skl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rgal\Desktop\skla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24D6">
        <w:rPr>
          <w:rFonts w:ascii="Arial" w:eastAsia="Times New Roman" w:hAnsi="Arial" w:cs="Arial"/>
          <w:noProof/>
          <w:sz w:val="20"/>
          <w:szCs w:val="24"/>
          <w:lang w:eastAsia="sl-SI"/>
        </w:rPr>
        <w:drawing>
          <wp:inline distT="0" distB="0" distL="0" distR="0" wp14:anchorId="7F8A5156" wp14:editId="785F4FC4">
            <wp:extent cx="1028700" cy="1028700"/>
            <wp:effectExtent l="0" t="0" r="0" b="0"/>
            <wp:docPr id="2" name="Slika 1" descr="uni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4669">
        <w:rPr>
          <w:rFonts w:ascii="Arial" w:hAnsi="Arial" w:cs="Arial"/>
          <w:noProof/>
          <w:lang w:eastAsia="sl-SI"/>
        </w:rPr>
        <w:drawing>
          <wp:inline distT="0" distB="0" distL="0" distR="0" wp14:anchorId="27FA6EC3" wp14:editId="4D77E610">
            <wp:extent cx="2263268" cy="628153"/>
            <wp:effectExtent l="0" t="0" r="3810" b="635"/>
            <wp:docPr id="4" name="Slika 4" descr="LOGOTIP-ESS-S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-ESS-S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268" cy="628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669" w:rsidRDefault="00BD4669" w:rsidP="00155CE4">
      <w:pPr>
        <w:spacing w:after="0" w:line="240" w:lineRule="auto"/>
        <w:jc w:val="both"/>
        <w:rPr>
          <w:rFonts w:ascii="Arial" w:hAnsi="Arial" w:cs="Arial"/>
          <w:b/>
        </w:rPr>
      </w:pPr>
    </w:p>
    <w:p w:rsidR="005C07FB" w:rsidRDefault="005C07FB" w:rsidP="00EA4548">
      <w:pPr>
        <w:spacing w:after="0" w:line="240" w:lineRule="auto"/>
        <w:jc w:val="both"/>
        <w:rPr>
          <w:rFonts w:ascii="Arial" w:hAnsi="Arial" w:cs="Arial"/>
        </w:rPr>
      </w:pPr>
    </w:p>
    <w:p w:rsidR="005C07FB" w:rsidRDefault="005C07FB" w:rsidP="00EA4548">
      <w:pPr>
        <w:spacing w:after="0" w:line="240" w:lineRule="auto"/>
        <w:jc w:val="both"/>
        <w:rPr>
          <w:rFonts w:ascii="Arial" w:hAnsi="Arial" w:cs="Arial"/>
        </w:rPr>
      </w:pPr>
    </w:p>
    <w:p w:rsidR="00EB4EDC" w:rsidRDefault="006D1A13" w:rsidP="00EA454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Javni sklad Republike Slovenije za razvoj kadrov in štipendije je dne 15. novembra</w:t>
      </w:r>
      <w:r w:rsidR="00155CE4" w:rsidRPr="005A24D6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3</w:t>
      </w:r>
      <w:r w:rsidR="00155CE4" w:rsidRPr="005A24D6">
        <w:rPr>
          <w:rFonts w:ascii="Arial" w:hAnsi="Arial" w:cs="Arial"/>
        </w:rPr>
        <w:t xml:space="preserve"> </w:t>
      </w:r>
      <w:r w:rsidR="007615F9">
        <w:rPr>
          <w:rFonts w:ascii="Arial" w:hAnsi="Arial" w:cs="Arial"/>
        </w:rPr>
        <w:t>objavil</w:t>
      </w:r>
      <w:r w:rsidR="00155CE4" w:rsidRPr="005A24D6">
        <w:rPr>
          <w:rFonts w:ascii="Arial" w:hAnsi="Arial" w:cs="Arial"/>
        </w:rPr>
        <w:t xml:space="preserve"> </w:t>
      </w:r>
      <w:r w:rsidR="006C5416">
        <w:rPr>
          <w:rFonts w:ascii="Arial" w:hAnsi="Arial" w:cs="Arial"/>
        </w:rPr>
        <w:t>J</w:t>
      </w:r>
      <w:r w:rsidR="006C5416" w:rsidRPr="005A24D6">
        <w:rPr>
          <w:rFonts w:ascii="Arial" w:hAnsi="Arial" w:cs="Arial"/>
        </w:rPr>
        <w:t>avni razpis</w:t>
      </w:r>
      <w:r w:rsidR="003A2C9F">
        <w:rPr>
          <w:rFonts w:ascii="Arial" w:hAnsi="Arial" w:cs="Arial"/>
        </w:rPr>
        <w:t xml:space="preserve"> za sofinanciranje projektov po kreativni poti do praktičnega znanja v letu 2014. </w:t>
      </w:r>
      <w:r w:rsidR="006C5416" w:rsidRPr="005A24D6">
        <w:rPr>
          <w:rFonts w:ascii="Arial" w:hAnsi="Arial" w:cs="Arial"/>
        </w:rPr>
        <w:t xml:space="preserve"> </w:t>
      </w:r>
    </w:p>
    <w:p w:rsidR="00EA4548" w:rsidRDefault="00EA4548" w:rsidP="00EA4548">
      <w:pPr>
        <w:spacing w:after="0" w:line="240" w:lineRule="auto"/>
        <w:jc w:val="both"/>
        <w:rPr>
          <w:rFonts w:ascii="Arial" w:hAnsi="Arial" w:cs="Arial"/>
        </w:rPr>
      </w:pPr>
    </w:p>
    <w:p w:rsidR="006D1A13" w:rsidRPr="003A2C9F" w:rsidRDefault="006D1A13" w:rsidP="006D1A13">
      <w:pPr>
        <w:jc w:val="both"/>
        <w:rPr>
          <w:rFonts w:ascii="Arial" w:hAnsi="Arial" w:cs="Arial"/>
        </w:rPr>
      </w:pPr>
      <w:r w:rsidRPr="003A2C9F">
        <w:rPr>
          <w:rFonts w:ascii="Arial" w:hAnsi="Arial" w:cs="Arial"/>
        </w:rPr>
        <w:t>Univerza v</w:t>
      </w:r>
      <w:r w:rsidR="003A2C9F" w:rsidRPr="003A2C9F">
        <w:rPr>
          <w:rFonts w:ascii="Arial" w:hAnsi="Arial" w:cs="Arial"/>
        </w:rPr>
        <w:t xml:space="preserve"> Ljubljani se je prijavila na Javni razpis</w:t>
      </w:r>
      <w:r w:rsidRPr="003A2C9F">
        <w:rPr>
          <w:rFonts w:ascii="Arial" w:hAnsi="Arial" w:cs="Arial"/>
        </w:rPr>
        <w:t xml:space="preserve"> z namenom, da študentom omogoči </w:t>
      </w:r>
      <w:r w:rsidR="00EA4548">
        <w:rPr>
          <w:rFonts w:ascii="Arial" w:hAnsi="Arial" w:cs="Arial"/>
        </w:rPr>
        <w:t xml:space="preserve">razvoj kompetenc, pridobivanje praktičnega znanja ter izkušenj v neposrednem </w:t>
      </w:r>
      <w:r w:rsidRPr="003A2C9F">
        <w:rPr>
          <w:rFonts w:ascii="Arial" w:hAnsi="Arial" w:cs="Arial"/>
        </w:rPr>
        <w:t>sodelovanj</w:t>
      </w:r>
      <w:r w:rsidR="00EA4548">
        <w:rPr>
          <w:rFonts w:ascii="Arial" w:hAnsi="Arial" w:cs="Arial"/>
        </w:rPr>
        <w:t>u</w:t>
      </w:r>
      <w:r w:rsidRPr="003A2C9F">
        <w:rPr>
          <w:rFonts w:ascii="Arial" w:hAnsi="Arial" w:cs="Arial"/>
        </w:rPr>
        <w:t xml:space="preserve"> </w:t>
      </w:r>
      <w:r w:rsidR="00EA4548">
        <w:rPr>
          <w:rFonts w:ascii="Arial" w:hAnsi="Arial" w:cs="Arial"/>
        </w:rPr>
        <w:t>s podjetji</w:t>
      </w:r>
      <w:r w:rsidRPr="003A2C9F">
        <w:rPr>
          <w:rFonts w:ascii="Arial" w:hAnsi="Arial" w:cs="Arial"/>
        </w:rPr>
        <w:t xml:space="preserve">. </w:t>
      </w:r>
      <w:r w:rsidR="00EA4548" w:rsidRPr="006F5864">
        <w:rPr>
          <w:rFonts w:ascii="Arial" w:hAnsi="Arial" w:cs="Arial"/>
        </w:rPr>
        <w:t>S</w:t>
      </w:r>
      <w:r w:rsidR="00EA4548">
        <w:rPr>
          <w:rFonts w:ascii="Arial" w:hAnsi="Arial" w:cs="Arial"/>
        </w:rPr>
        <w:t xml:space="preserve"> pomočjo pedagoških mentorjev iz UL in delovnih mentorjev iz podjetij bodo večinoma interdisciplinarni študentski timi iskali kreativne in inovativne rešitve </w:t>
      </w:r>
      <w:r w:rsidR="00EB4EDC">
        <w:rPr>
          <w:rFonts w:ascii="Arial" w:hAnsi="Arial" w:cs="Arial"/>
        </w:rPr>
        <w:t>zelo raznolik</w:t>
      </w:r>
      <w:r w:rsidR="00EA4548">
        <w:rPr>
          <w:rFonts w:ascii="Arial" w:hAnsi="Arial" w:cs="Arial"/>
        </w:rPr>
        <w:t>ih</w:t>
      </w:r>
      <w:r w:rsidR="00EB4EDC">
        <w:rPr>
          <w:rFonts w:ascii="Arial" w:hAnsi="Arial" w:cs="Arial"/>
        </w:rPr>
        <w:t xml:space="preserve"> </w:t>
      </w:r>
      <w:r w:rsidRPr="003A2C9F">
        <w:rPr>
          <w:rFonts w:ascii="Arial" w:hAnsi="Arial" w:cs="Arial"/>
        </w:rPr>
        <w:t>praktičn</w:t>
      </w:r>
      <w:r w:rsidR="00EA4548">
        <w:rPr>
          <w:rFonts w:ascii="Arial" w:hAnsi="Arial" w:cs="Arial"/>
        </w:rPr>
        <w:t>ih</w:t>
      </w:r>
      <w:r w:rsidRPr="003A2C9F">
        <w:rPr>
          <w:rFonts w:ascii="Arial" w:hAnsi="Arial" w:cs="Arial"/>
        </w:rPr>
        <w:t xml:space="preserve"> problem</w:t>
      </w:r>
      <w:r w:rsidR="00EA4548">
        <w:rPr>
          <w:rFonts w:ascii="Arial" w:hAnsi="Arial" w:cs="Arial"/>
        </w:rPr>
        <w:t>ov</w:t>
      </w:r>
      <w:r w:rsidRPr="003A2C9F">
        <w:rPr>
          <w:rFonts w:ascii="Arial" w:hAnsi="Arial" w:cs="Arial"/>
        </w:rPr>
        <w:t xml:space="preserve"> </w:t>
      </w:r>
      <w:r w:rsidR="008162E9">
        <w:rPr>
          <w:rFonts w:ascii="Arial" w:hAnsi="Arial" w:cs="Arial"/>
        </w:rPr>
        <w:t>podjetij</w:t>
      </w:r>
      <w:r w:rsidR="00EA4548">
        <w:rPr>
          <w:rFonts w:ascii="Arial" w:hAnsi="Arial" w:cs="Arial"/>
        </w:rPr>
        <w:t>.</w:t>
      </w:r>
      <w:r w:rsidR="008162E9">
        <w:rPr>
          <w:rFonts w:ascii="Arial" w:hAnsi="Arial" w:cs="Arial"/>
        </w:rPr>
        <w:t xml:space="preserve"> </w:t>
      </w:r>
      <w:r w:rsidR="005C07FB">
        <w:rPr>
          <w:rFonts w:ascii="Arial" w:hAnsi="Arial" w:cs="Arial"/>
        </w:rPr>
        <w:t xml:space="preserve">Projekti tako omogočajo </w:t>
      </w:r>
      <w:proofErr w:type="spellStart"/>
      <w:r w:rsidR="005C07FB">
        <w:rPr>
          <w:rFonts w:ascii="Arial" w:hAnsi="Arial" w:cs="Arial"/>
        </w:rPr>
        <w:t>študentjom</w:t>
      </w:r>
      <w:proofErr w:type="spellEnd"/>
      <w:r w:rsidR="005C07FB">
        <w:rPr>
          <w:rFonts w:ascii="Arial" w:hAnsi="Arial" w:cs="Arial"/>
        </w:rPr>
        <w:t xml:space="preserve"> </w:t>
      </w:r>
      <w:r w:rsidR="00EA4548">
        <w:rPr>
          <w:rFonts w:ascii="Arial" w:hAnsi="Arial" w:cs="Arial"/>
        </w:rPr>
        <w:t>razvija</w:t>
      </w:r>
      <w:r w:rsidR="005C07FB">
        <w:rPr>
          <w:rFonts w:ascii="Arial" w:hAnsi="Arial" w:cs="Arial"/>
        </w:rPr>
        <w:t>nje  različnih</w:t>
      </w:r>
      <w:r w:rsidR="00EA4548">
        <w:rPr>
          <w:rFonts w:ascii="Arial" w:hAnsi="Arial" w:cs="Arial"/>
        </w:rPr>
        <w:t xml:space="preserve"> </w:t>
      </w:r>
      <w:r w:rsidR="008162E9">
        <w:rPr>
          <w:rFonts w:ascii="Arial" w:hAnsi="Arial" w:cs="Arial"/>
        </w:rPr>
        <w:t>kompetenc</w:t>
      </w:r>
      <w:r w:rsidRPr="003A2C9F">
        <w:rPr>
          <w:rFonts w:ascii="Arial" w:hAnsi="Arial" w:cs="Arial"/>
        </w:rPr>
        <w:t>, ki jim bodo omogočile lažji prehod iz izobraževanja v zaposlitev</w:t>
      </w:r>
      <w:r w:rsidR="00EA4548">
        <w:rPr>
          <w:rFonts w:ascii="Arial" w:hAnsi="Arial" w:cs="Arial"/>
        </w:rPr>
        <w:t xml:space="preserve">, obenem pa </w:t>
      </w:r>
      <w:r w:rsidR="005C07FB">
        <w:rPr>
          <w:rFonts w:ascii="Arial" w:hAnsi="Arial" w:cs="Arial"/>
        </w:rPr>
        <w:t>tudi prenos znanja v prakso.</w:t>
      </w:r>
    </w:p>
    <w:p w:rsidR="005C07FB" w:rsidRPr="005C07FB" w:rsidRDefault="00EB4EDC" w:rsidP="005C07FB">
      <w:pPr>
        <w:jc w:val="both"/>
        <w:rPr>
          <w:rFonts w:ascii="Arial" w:hAnsi="Arial" w:cs="Arial"/>
        </w:rPr>
      </w:pPr>
      <w:r w:rsidRPr="005C07FB">
        <w:rPr>
          <w:rFonts w:ascii="Arial" w:hAnsi="Arial" w:cs="Arial"/>
        </w:rPr>
        <w:t>V okviru projekt</w:t>
      </w:r>
      <w:r w:rsidR="005C07FB" w:rsidRPr="005C07FB">
        <w:rPr>
          <w:rFonts w:ascii="Arial" w:hAnsi="Arial" w:cs="Arial"/>
        </w:rPr>
        <w:t xml:space="preserve">ov </w:t>
      </w:r>
      <w:r w:rsidRPr="005C07FB">
        <w:rPr>
          <w:rFonts w:ascii="Arial" w:hAnsi="Arial" w:cs="Arial"/>
        </w:rPr>
        <w:t xml:space="preserve">se </w:t>
      </w:r>
      <w:r w:rsidR="005C07FB" w:rsidRPr="005C07FB">
        <w:rPr>
          <w:rFonts w:ascii="Arial" w:hAnsi="Arial" w:cs="Arial"/>
        </w:rPr>
        <w:t>bodo</w:t>
      </w:r>
      <w:r w:rsidRPr="005C07FB">
        <w:rPr>
          <w:rFonts w:ascii="Arial" w:hAnsi="Arial" w:cs="Arial"/>
        </w:rPr>
        <w:t xml:space="preserve"> </w:t>
      </w:r>
      <w:r w:rsidR="005C07FB" w:rsidRPr="005C07FB">
        <w:rPr>
          <w:rFonts w:ascii="Arial" w:hAnsi="Arial" w:cs="Arial"/>
        </w:rPr>
        <w:t xml:space="preserve">skladno s pogoji javnega razpisa </w:t>
      </w:r>
      <w:r w:rsidR="006F5864">
        <w:rPr>
          <w:rFonts w:ascii="Arial" w:hAnsi="Arial" w:cs="Arial"/>
        </w:rPr>
        <w:t xml:space="preserve">in naravo problema </w:t>
      </w:r>
      <w:r w:rsidRPr="005C07FB">
        <w:rPr>
          <w:rFonts w:ascii="Arial" w:hAnsi="Arial" w:cs="Arial"/>
        </w:rPr>
        <w:t>razvij</w:t>
      </w:r>
      <w:r w:rsidR="005C07FB" w:rsidRPr="005C07FB">
        <w:rPr>
          <w:rFonts w:ascii="Arial" w:hAnsi="Arial" w:cs="Arial"/>
        </w:rPr>
        <w:t>ale</w:t>
      </w:r>
      <w:r w:rsidRPr="005C07FB">
        <w:rPr>
          <w:rFonts w:ascii="Arial" w:hAnsi="Arial" w:cs="Arial"/>
        </w:rPr>
        <w:t xml:space="preserve"> idejne rešitve oz. izvedbene študije, analize, raziskave, ki potencialno vodijo do novega izdelka, storitve, inovacije oz. k uvajanju novih ali izboljšanih delovnih procesov, novih pristopov pri delovanju podjetja, </w:t>
      </w:r>
      <w:r w:rsidR="005C07FB" w:rsidRPr="005C07FB">
        <w:rPr>
          <w:rFonts w:ascii="Arial" w:hAnsi="Arial" w:cs="Arial"/>
        </w:rPr>
        <w:t>prilagajanju trgu in tržnim zahtevam ter drugo, kar prispeva k razreševanju aktualnih potreb gospodarstva.</w:t>
      </w:r>
    </w:p>
    <w:p w:rsidR="00155CE4" w:rsidRDefault="00155CE4" w:rsidP="00155CE4">
      <w:pPr>
        <w:spacing w:after="0" w:line="240" w:lineRule="auto"/>
        <w:jc w:val="both"/>
        <w:rPr>
          <w:rFonts w:ascii="Arial" w:hAnsi="Arial" w:cs="Arial"/>
        </w:rPr>
      </w:pPr>
    </w:p>
    <w:p w:rsidR="00217D9E" w:rsidRDefault="006F5864" w:rsidP="006F5864">
      <w:pPr>
        <w:jc w:val="both"/>
        <w:rPr>
          <w:rFonts w:ascii="Arial" w:hAnsi="Arial" w:cs="Arial"/>
        </w:rPr>
      </w:pPr>
      <w:r w:rsidRPr="006F5864">
        <w:rPr>
          <w:rFonts w:ascii="Arial" w:hAnsi="Arial" w:cs="Arial"/>
        </w:rPr>
        <w:t xml:space="preserve">Za sofinanciranje je bilo izbranih </w:t>
      </w:r>
      <w:r w:rsidR="009B7FDB" w:rsidRPr="009B7FDB">
        <w:rPr>
          <w:rFonts w:ascii="Arial" w:hAnsi="Arial" w:cs="Arial"/>
        </w:rPr>
        <w:t xml:space="preserve">112 </w:t>
      </w:r>
      <w:r w:rsidR="009B7FDB">
        <w:rPr>
          <w:rFonts w:ascii="Arial" w:hAnsi="Arial" w:cs="Arial"/>
        </w:rPr>
        <w:t xml:space="preserve"> projektov </w:t>
      </w:r>
      <w:r w:rsidR="00217D9E">
        <w:rPr>
          <w:rFonts w:ascii="Arial" w:hAnsi="Arial" w:cs="Arial"/>
        </w:rPr>
        <w:t xml:space="preserve">s 23 članic </w:t>
      </w:r>
      <w:r w:rsidR="009B7FDB" w:rsidRPr="009B7FDB">
        <w:rPr>
          <w:rFonts w:ascii="Arial" w:hAnsi="Arial" w:cs="Arial"/>
        </w:rPr>
        <w:t>v skupni vrednosti  1.614.922,00</w:t>
      </w:r>
      <w:r w:rsidR="00647BE9">
        <w:rPr>
          <w:rFonts w:ascii="Arial" w:hAnsi="Arial" w:cs="Arial"/>
        </w:rPr>
        <w:t>.</w:t>
      </w:r>
      <w:r w:rsidRPr="006F5864">
        <w:rPr>
          <w:rFonts w:ascii="Arial" w:hAnsi="Arial" w:cs="Arial"/>
        </w:rPr>
        <w:t xml:space="preserve"> </w:t>
      </w:r>
    </w:p>
    <w:p w:rsidR="006F5864" w:rsidRPr="006F5864" w:rsidRDefault="00647BE9" w:rsidP="006F58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spodnji tabeli so </w:t>
      </w:r>
      <w:r w:rsidR="006F5864" w:rsidRPr="006F5864">
        <w:rPr>
          <w:rFonts w:ascii="Arial" w:hAnsi="Arial" w:cs="Arial"/>
        </w:rPr>
        <w:t xml:space="preserve">predstavljeni </w:t>
      </w:r>
      <w:r>
        <w:rPr>
          <w:rFonts w:ascii="Arial" w:hAnsi="Arial" w:cs="Arial"/>
        </w:rPr>
        <w:t>podatki o pridobljenih projektih</w:t>
      </w:r>
      <w:r w:rsidR="006F5864" w:rsidRPr="006F5864">
        <w:rPr>
          <w:rFonts w:ascii="Arial" w:hAnsi="Arial" w:cs="Arial"/>
        </w:rPr>
        <w:t xml:space="preserve">. </w:t>
      </w:r>
    </w:p>
    <w:tbl>
      <w:tblPr>
        <w:tblW w:w="90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4"/>
        <w:gridCol w:w="4046"/>
        <w:gridCol w:w="2157"/>
      </w:tblGrid>
      <w:tr w:rsidR="00B635FE" w:rsidRPr="00B635FE" w:rsidTr="00B635FE">
        <w:trPr>
          <w:trHeight w:val="840"/>
        </w:trPr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64A2" w:fill="D9D9D9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sl-SI"/>
              </w:rPr>
            </w:pPr>
            <w:bookmarkStart w:id="0" w:name="RANGE!A1:C114"/>
            <w:r w:rsidRPr="00B635FE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sl-SI"/>
              </w:rPr>
              <w:t>ČLANICA</w:t>
            </w:r>
            <w:bookmarkEnd w:id="0"/>
          </w:p>
        </w:tc>
        <w:tc>
          <w:tcPr>
            <w:tcW w:w="4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64A2" w:fill="D9D9D9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sl-SI"/>
              </w:rPr>
              <w:t>IME PROJEKTA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64A2" w:fill="D9D9D9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b/>
                <w:bCs/>
                <w:sz w:val="32"/>
                <w:szCs w:val="32"/>
                <w:lang w:eastAsia="sl-SI"/>
              </w:rPr>
              <w:t>VREDNOST PROJEKTA</w:t>
            </w:r>
          </w:p>
        </w:tc>
      </w:tr>
      <w:tr w:rsidR="00B635FE" w:rsidRPr="00B635FE" w:rsidTr="00B635FE">
        <w:trPr>
          <w:trHeight w:val="3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AKADEMIJA ZA GLASBO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Glasbene urice za dojenčke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10.632,00 €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AKADEMIJA ZA GLEDALIŠČE, RADIO, FILM IN TELEVIZIJO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Oblikovanje interdisciplinarnih rešitev medijskega poslovnega modela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VIVA.si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91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AKADEMIJA ZA LIKOVNO UMETNOST IN OBLIKOVANJE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Določitev optimalnega razmerja med mastnimi vezivi, polnili in pigmenti pri izdelavi oljnih barv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13.404,00 €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AKADEMIJA ZA LIKOVNO UMETNOST IN OBLIKOVANJE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E-nakup in/ali alternativna rešitev dostave na dom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20.856,00 €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AKADEMIJA ZA LIKOVNO UMETNOST IN OBLIKOVANJE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Ponovna uporaba R&amp;R oblikovalski in tehnološki proces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17.500,00 €</w:t>
            </w:r>
          </w:p>
        </w:tc>
      </w:tr>
      <w:tr w:rsidR="00B635FE" w:rsidRPr="00B635FE" w:rsidTr="00B635FE">
        <w:trPr>
          <w:trHeight w:val="12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BIOTEHNIŠKA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Analiza bakterijskih združb biološkega filtra v primeru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akvaponske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pridelave hrane in razvoj avtomatskega digitalnega nadzora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akvaponskega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sistema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10.632,00 €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BIOTEHNIŠKA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Analiza vzrokov za mikrobiološke okužbe in priprava sistema za učinkovit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monitoring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15.816,00 €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BIOTEHNIŠKA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Določanje ključnih lastnosti kvalitete stavbnega pohištva z inovativnimi pristopi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7.420,00 €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BIOTEHNIŠKA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Predlog krajinske ureditve posestva Orehov gaj, Ljubljana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9.860,00 €</w:t>
            </w:r>
          </w:p>
        </w:tc>
      </w:tr>
      <w:tr w:rsidR="00B635FE" w:rsidRPr="00B635FE" w:rsidTr="00B635FE">
        <w:trPr>
          <w:trHeight w:val="3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BIOTEHNIŠKA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Razvoj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nebiocidnih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rešitev zaščite lesa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7.015,00 €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BIOTEHNIŠKA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Razvoj učinkovine podobnega biološkega zdravila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24.500,00 €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BIOTEHNIŠKA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Uporaba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bio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informatike za analizo bioloških podatkov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3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BIOTEHNIŠKA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Varna hrana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BIOTEHNIŠKA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Voda v rastnih substratih iz kamenih vlaken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10.632,00 €</w:t>
            </w:r>
          </w:p>
        </w:tc>
      </w:tr>
      <w:tr w:rsidR="00B635FE" w:rsidRPr="00B635FE" w:rsidTr="00B635FE">
        <w:trPr>
          <w:trHeight w:val="3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BIOTEHNIŠKA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Vsaka gredica šteje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9.832,00 €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EKONOMSKA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Analiza stanja in konkurence ter ocena tržnega potenciala na obstoječih in novih trgih podjetja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Vimosa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10.500,00 €</w:t>
            </w:r>
          </w:p>
        </w:tc>
      </w:tr>
      <w:tr w:rsidR="00B635FE" w:rsidRPr="00B635FE" w:rsidTr="00B635FE">
        <w:trPr>
          <w:trHeight w:val="3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EKONOMSKA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Business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model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generation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12.360,00 €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EKONOMSKA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Optimizacija dobavne verige na primeru Danfossove poslovne enote-BU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Controls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10.632,00 €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EKONOMSKA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Optimizacija transporta v podjetju Habjan transport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10.632,00 €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EKONOMSKA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Prenova in informatizacija procesa razvoja programske opreme in interne komunikacije v podjetju AMIS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4.452,00 €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EKONOMSKA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Tehnologija razvrščanja konstrukcijskega lesa in vpliv razvrščanja na učinkovitost proizvodnje lesen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14.088,00 €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DRUŽBENE VEDE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Aplikacija naprednih geodetskih storitev pri zagotavljanju sodobne varnosti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14.088,00 €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DRUŽBENE VEDE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Konvergenca novinarskih uredništev v regionalnem mediju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6.356,00 €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DRUŽBENE VEDE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Kreativno do kadrovskih znanj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5.008,00 €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FAKULTETA ZA DRUŽBENE VEDE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Študije sledenja gibanja očesne zenice za testiranje uporabnosti anketnih vprašalnikov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12.190,00 €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DRUŽBENE VEDE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Tržna raziskava obstoječih tehničnih rešitev za upravljanje z javno (kritično) infrastrukturo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10.618,00 €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DRUŽBENE VEDE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Vključevanje malih podjetij v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Horizon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 2020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10.480,00 €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DRUŽBENE VEDE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Vsebinski marketing-strateško načrtovanje, produkcija in upravljanje lastnih komunikacij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15.816,00 €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ELEKTROTEHNIKO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Celovito upravljanje energetske bilance pasivnih hiš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6.023,00 €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ELEKTROTEHNIKO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Health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station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HOME - modul merilnika kisika v krvi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7.175,00 €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ELEKTROTEHNIKO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Laboratorijski merilni sistem na osnovi naprave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RedPitaya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20.999,00 €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ELEKTROTEHNIKO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Merjenje in analiza delovanja hladilnih sistemov za potrebe zagotavljanja varnosti hlajenih živil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20.999,00 €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ELEKTROTEHNIKO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Modeliranje procesa nastajanje vina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8.903,00 €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ELEKTROTEHNIKO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Napredne metode računalniškega vida za avtonomno navigacijo robotskega plovila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12.359,00 €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ELEKTROTEHNIKO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Prva frekvenca-časovna umestitev vsebin v digitalne medije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12.359,00 €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ELEKTROTEHNIKO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Sledilec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12.359,00 €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ELEKTROTEHNIKO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Upodabljanje na daljavo z uporabo visokozmogljivega računalništva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20.999,00 €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ELEKTROTEHNIKO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Vpliv parametrov omrežja na uporabniško izkušnjo pri pri oddaljenem upravljanju aplikacij in naprav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15.815,00 €</w:t>
            </w:r>
          </w:p>
        </w:tc>
      </w:tr>
      <w:tr w:rsidR="00B635FE" w:rsidRPr="00B635FE" w:rsidTr="00B635FE">
        <w:trPr>
          <w:trHeight w:val="3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FILOZOFSKA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IKT prevajalsko okolje IOLAR-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iPROKI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12.360,00 €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FILOZOFSKA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Komercialna razstava: analiza in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inoviranje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11.740,00 €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FARMACIJO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Implementacija novih analitskih tehnik in optimizacija ter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validacija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obstoječih analiznih metod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FARMACIJO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Razvoj dezinfekcijskega sredstva na osnovi bakteriofagov za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rezistentne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patogene bakterije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8.904,00 €</w:t>
            </w:r>
          </w:p>
        </w:tc>
      </w:tr>
      <w:tr w:rsidR="00B635FE" w:rsidRPr="00B635FE" w:rsidTr="00B635FE">
        <w:trPr>
          <w:trHeight w:val="3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FARMACIJO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Razvoj sinteze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formacevtske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učinkovine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10.632,00 €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FARMACIJO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Razvoj tehnologije FRET za odkrivanje nedovoljenih učinkovin v športu in zlorabi v zdravstvu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10.632,00 €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FAKULTETA ZA FARMACIJO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Umeščanje zdravil v slovenski zdravstveni sistem in njihova dostopnost pacientom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8.904,00 €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GRADBENIŠTVO IN GEODEZIJO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Implementacija naprednih projektantskih metod v gradbeno podjetje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14.088,00 €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GRADBENIŠTVO IN GEODEZIJO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Izdelava testnega primera poročila o spremljanju prostorskega razvoja na lokalni ravni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14.420,00 €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GRADBENIŠTVO IN GEODEZIJO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Modeliranje stoječega vala za vodni šport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GRADBENIŠTVO IN GEODEZIJO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Nadgraditev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standerdne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metode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astm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c 1138 preskusa abrazijske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odpornosit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betonov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GRADBENIŠTVO IN GEODEZIJO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Odločitveni model za izbiro tipa čistilne naprave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12.360,00 €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GRADBENIŠTVO IN GEODEZIJO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Prtal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SCI-BUS za distribuirane inženirske aplikacije na infrastrukturi SLING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GRADBENIŠTVO IN GEODEZIJO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Računalniške simulacije obnašanja inovativnih fasadnih sistemov iz različnih materialov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GRADBENIŠTVO IN GEODEZIJO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Testiranje brezpilotnega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letalnika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za zajem prostorskih podatkov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16.970,00 €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GRADBENIŠTVO IN GEODEZIJO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Vpliv podnebnih sprememb na vodno bilanco, vodni režim in rabo prostora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GRADBENIŠTVO IN GEODEZIJO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Zelena luč za slovenska geodetska podjetja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14.420,00 €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KEMIJO IN KEMIJSKO TEHNOLOGIJO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Identifikacija virov onesnaženja z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monitoringom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kanalizacijskega sistema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12.360,00 €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KEMIJO IN KEMIJSKO TEHNOLOGIJO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Mikroalgna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biotehnologija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6.180,00 €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KEMIJO IN KEMIJSKO TEHNOLOGIJO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Možnosti uporabe kromatografske in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kalorimetrične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analize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proteoma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plazme v diagnostične namene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6.356,00 €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KEMIJO IN KEMIJSKO TEHNOLOGIJO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Priprava visokotemperaturnega TiO2 katalizatorja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10.560,00 €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MATEMATIKO IN FIZIKO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Bitcoin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in druge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kriptovalute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MATEMATIKO IN FIZIKO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Dinamična omrežja v financah in na spletu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MATEMATIKO IN FIZIKO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Obtimizacije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portfeljev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MATEMATIKO IN FIZIKO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Odločanje pri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nenednih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slabih dogodkih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18.452,00 €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FAKULTETA ZA MATEMATIKO IN FIZIKO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Programske tehnike za delo s prostorskimi podatki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10.632,00 €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MATEMATIKO IN FIZIKO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Razvoj in optimizacija akustičnega pohištva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14.420,00 €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MATEMATIKO IN FIZIKO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Uporaba učne tehnologije pri pouku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POMORSTVO IN PROMET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Avtomatsko gašenje na malih plovilih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17.544,00 €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POMORSTVO IN PROMET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Biomasa kot alternativno gorivo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10.632,00 €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POMORSTVO IN PROMET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Brezpilotni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letalniki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v slovenskem zračnem prostoru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POMORSTVO IN PROMET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Poslovanje pomorskega podjetja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10.300,00 €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POMORSTVO IN PROMET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Spletna borza logističnih storitev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20.700,00 €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POMORSTVO IN PROMET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Šport in sistem varnosti na morju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POMORSTVO IN PROMET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Uporaba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multikopterja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za nadzor in upravljanje prometnih sistemov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15.816,00 €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POMORSTVO IN PROMET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Zasnova in gospodarnost toplotnih črpalk z izrabo morja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17.544,00 €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RAČUNALNIŠTVO IN INFORMATIKO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Avtomatizacija testiranja spletnih aplikacij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9.392,00 €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RAČUNALNIŠTVO IN INFORMATIKO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Brezžični vmesnik za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Pitotovo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cev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10.020,00 €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RAČUNALNIŠTVO IN INFORMATIKO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Fotogrametrično zajemanje 3D podatkov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7.670,00 €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RAČUNALNIŠTVO IN INFORMATIKO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GenExpres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15.816,00 €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RAČUNALNIŠTVO IN INFORMATIKO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Integracija storitev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SaaS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14.088,00 €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RAČUNALNIŠTVO IN INFORMATIKO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Kdo ta hip gleda televizijo?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13.778,00 €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RAČUNALNIŠTVO IN INFORMATIKO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Razvoj naprednih analitskih orodij za optimizacijo delovanja stavbnih sistemov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12.060,00 €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RAČUNALNIŠTVO IN INFORMATIKO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Študija in primerjava naprednih metod računalniškega vida za modeliranje stopal v realnem okolju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12.060,00 €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RAČUNALNIŠTVO IN INFORMATIKO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Študija za integracijo interaktivne računalniške instalacije v arhitekturo nove stavbe FRI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9.636,00 €</w:t>
            </w:r>
          </w:p>
        </w:tc>
      </w:tr>
      <w:tr w:rsidR="00B635FE" w:rsidRPr="00B635FE" w:rsidTr="00B635FE">
        <w:trPr>
          <w:trHeight w:val="76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FAKULTETA ZA RAČUNALNIŠTVO IN INFORMATIKO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Varnost in statistika e-vsebin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14.088,00 €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STROJNIŠTVO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Analiza delovanja oljno-hidravličnega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rotatorja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prve serije KGL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61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STROJNIŠTVO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Diagnostika in optimizacija pralno-sušilnih strojev in vgrajenih komponent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STROJNIŠTVO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Kreativna pot FS-Krka za praktična znanja na področju toplotne in procesne tehnike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61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STROJNIŠTVO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Novi razvojni izzivi pri izdelavi in uporabi puhal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915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STROJNIŠTVO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Razvoj praktičnih kompetenc o celovitem razvoju izdelka z obvladovanjem tehnologij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STROJNIŠTVO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S kreativnostjo do evolucije obstoječih izdelkov ter razvoja novih izdelkov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STROJNIŠTVO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Soočenje kibernetskega in realnega sveta v tovarni prihodnosti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STROJNIŠTVO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Študija izboljšav sistemov prenosa toplote in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regolacije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daljinskega ogrevanja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STROJNIŠTVO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Ureditev inženirskih analiz in dokumentacije po sodobnih standardih pri kompleksnejših projektih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STROJNIŠTVO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Večstopenjsko modeliranje in optimizacija komponent elektroenergetskih in bioloških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sisitemov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21.000,00 €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SOCIALNO DELO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Analiza trga in razvoj ciljne ponudbe za kupce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14.520,00 €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SOCIALNO DELO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Promocija socialnih trgovin in razvoj podpornih programov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12.216,00 €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SOCIALNO DELO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Večanje prepoznavnosti dejavnosti v okolju in raziskovanje možnosti razvoja podjetja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10.980,00 €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ŠPORT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Vpliv izbire smučarske opreme na varnost pri alpskem smučanju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10.388,00 €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ŠPORT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Vpliv pulzne elektromagnetne terapije na regeneracijo športnikov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13.180,00 €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FAKULTETA ZA UPRAVO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Interdisciplinarna analiza izboljšave in implementacije visoko tehnoloških produktov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20.973,00 €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MEDICINSKA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Priprava Avtonomnih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imunohibridomov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za zdravljenje raka prostate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12.404,00 €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NARAVOSLOVNOTEHNIŠKA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Alternativne možnosti uporabe stroja za lesarski izrez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7.088,00 €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NARAVOSLOVNOTEHNIŠKA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Model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podzemljne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vode GW VISTAS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10.388,00 €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NARAVOSLOVNOTEHNIŠKA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Nova generacija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malolegiranega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visokotrdnega</w:t>
            </w:r>
            <w:proofErr w:type="spellEnd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jekla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12.028,00 €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NARAVOSLOVNOTEHNIŠKA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proofErr w:type="spellStart"/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Piezometer</w:t>
            </w:r>
            <w:proofErr w:type="spellEnd"/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10.388,00 €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NARAVOSLOVNOTEHNIŠKA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Razvoj novih materialov na osnovi aluminija 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13.980,00 €</w:t>
            </w:r>
          </w:p>
        </w:tc>
      </w:tr>
      <w:tr w:rsidR="00B635FE" w:rsidRPr="00B635FE" w:rsidTr="00B635FE">
        <w:trPr>
          <w:trHeight w:val="51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NARAVOSLOVNOTEHNIŠKA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Stebrni udari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10.388,00 €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NARAVOSLOVNOTEHNIŠKA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Vpeljava novih reaktivnih barvil v proizvodni proces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5.448,00 €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PEDAGOŠKA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Gradiva za načrtovanje učnih ur in utrjevanje učne vsebine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18.440,00 €</w:t>
            </w:r>
          </w:p>
        </w:tc>
      </w:tr>
      <w:tr w:rsidR="00B635FE" w:rsidRPr="00B635FE" w:rsidTr="00B635FE">
        <w:trPr>
          <w:trHeight w:val="9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PEDAGOŠKA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Naravi naproti: razvoj interaktivnih didaktičnih gradiv za spodbujanje trajnosti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18.440,00 €</w:t>
            </w:r>
          </w:p>
        </w:tc>
      </w:tr>
      <w:tr w:rsidR="00B635FE" w:rsidRPr="00B635FE" w:rsidTr="00B635FE">
        <w:trPr>
          <w:trHeight w:val="600"/>
        </w:trPr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PRAVNA FAKULTETA</w:t>
            </w:r>
          </w:p>
        </w:tc>
        <w:tc>
          <w:tcPr>
            <w:tcW w:w="4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Analiza institutov delovnega prava v gospodarski družbi</w:t>
            </w:r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19.272,00 €</w:t>
            </w:r>
          </w:p>
        </w:tc>
      </w:tr>
      <w:tr w:rsidR="00B635FE" w:rsidRPr="00B635FE" w:rsidTr="00B635FE">
        <w:trPr>
          <w:trHeight w:val="915"/>
        </w:trPr>
        <w:tc>
          <w:tcPr>
            <w:tcW w:w="2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B635F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VETERINARSKA FAKULTETA</w:t>
            </w:r>
          </w:p>
        </w:tc>
        <w:tc>
          <w:tcPr>
            <w:tcW w:w="4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Uporaba matičnih celic za zdravljenje živali-Raziskave diferenciacije celic in proučevanje razlik</w:t>
            </w: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color w:val="000000"/>
                <w:lang w:eastAsia="sl-SI"/>
              </w:rPr>
              <w:t>10.632,00 €</w:t>
            </w:r>
          </w:p>
        </w:tc>
      </w:tr>
      <w:tr w:rsidR="00B635FE" w:rsidRPr="00B635FE" w:rsidTr="00B635FE">
        <w:trPr>
          <w:trHeight w:hRule="exact" w:val="340"/>
        </w:trPr>
        <w:tc>
          <w:tcPr>
            <w:tcW w:w="6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l-SI"/>
              </w:rPr>
              <w:t>Skupna vsota UL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635FE" w:rsidRPr="00B635FE" w:rsidRDefault="00B635FE" w:rsidP="00B635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l-SI"/>
              </w:rPr>
            </w:pPr>
            <w:r w:rsidRPr="00B635FE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l-SI"/>
              </w:rPr>
              <w:t>1.614.996,00 €</w:t>
            </w:r>
          </w:p>
        </w:tc>
      </w:tr>
      <w:tr w:rsidR="00B635FE" w:rsidRPr="00B635FE" w:rsidTr="00B635FE">
        <w:trPr>
          <w:trHeight w:hRule="exact" w:val="340"/>
        </w:trPr>
        <w:tc>
          <w:tcPr>
            <w:tcW w:w="9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:rsidR="00B635FE" w:rsidRPr="00B635FE" w:rsidRDefault="00B635FE" w:rsidP="00B635F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l-SI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l-SI"/>
              </w:rPr>
              <w:t>Od tega:</w:t>
            </w:r>
          </w:p>
        </w:tc>
      </w:tr>
      <w:tr w:rsidR="00B635FE" w:rsidRPr="00B635FE" w:rsidTr="00B635FE">
        <w:trPr>
          <w:trHeight w:hRule="exact" w:val="284"/>
        </w:trPr>
        <w:tc>
          <w:tcPr>
            <w:tcW w:w="6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</w:tcPr>
          <w:p w:rsidR="00B635FE" w:rsidRPr="00190EA1" w:rsidRDefault="00B635FE" w:rsidP="00FB31AA">
            <w:r w:rsidRPr="00190EA1">
              <w:t xml:space="preserve">EU sredstva – Evropski socialni sklad  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B635FE" w:rsidRPr="00190EA1" w:rsidRDefault="00B635FE" w:rsidP="002B0FA4">
            <w:pPr>
              <w:jc w:val="center"/>
            </w:pPr>
            <w:r w:rsidRPr="00B635FE">
              <w:t>1.372</w:t>
            </w:r>
            <w:r w:rsidR="002B0FA4">
              <w:t>.</w:t>
            </w:r>
            <w:r w:rsidRPr="00B635FE">
              <w:t>746,60</w:t>
            </w:r>
          </w:p>
        </w:tc>
      </w:tr>
      <w:tr w:rsidR="00B635FE" w:rsidRPr="00B635FE" w:rsidTr="00B635FE">
        <w:trPr>
          <w:trHeight w:hRule="exact" w:val="284"/>
        </w:trPr>
        <w:tc>
          <w:tcPr>
            <w:tcW w:w="69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</w:tcPr>
          <w:p w:rsidR="00B635FE" w:rsidRPr="00190EA1" w:rsidRDefault="00B635FE" w:rsidP="00FB31AA">
            <w:r w:rsidRPr="00190EA1">
              <w:t>Ministrstvo za izobraževanje, znanost in šport</w:t>
            </w:r>
          </w:p>
        </w:tc>
        <w:tc>
          <w:tcPr>
            <w:tcW w:w="21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:rsidR="00B635FE" w:rsidRDefault="002B0FA4" w:rsidP="002B0FA4">
            <w:pPr>
              <w:jc w:val="center"/>
            </w:pPr>
            <w:r>
              <w:t xml:space="preserve">   </w:t>
            </w:r>
            <w:r w:rsidR="00B635FE" w:rsidRPr="00190EA1">
              <w:t>242</w:t>
            </w:r>
            <w:r>
              <w:t>.</w:t>
            </w:r>
            <w:bookmarkStart w:id="1" w:name="_GoBack"/>
            <w:bookmarkEnd w:id="1"/>
            <w:r w:rsidR="00B635FE" w:rsidRPr="00190EA1">
              <w:t>249,40</w:t>
            </w:r>
          </w:p>
        </w:tc>
      </w:tr>
    </w:tbl>
    <w:p w:rsidR="006F5864" w:rsidRDefault="006F5864" w:rsidP="009276BB">
      <w:pPr>
        <w:pStyle w:val="Brezrazmikov"/>
        <w:rPr>
          <w:rFonts w:ascii="Arial" w:hAnsi="Arial" w:cs="Arial"/>
          <w:b/>
        </w:rPr>
      </w:pPr>
    </w:p>
    <w:p w:rsidR="006F5864" w:rsidRDefault="006F5864" w:rsidP="009276BB">
      <w:pPr>
        <w:pStyle w:val="Brezrazmikov"/>
        <w:rPr>
          <w:rFonts w:ascii="Arial" w:hAnsi="Arial" w:cs="Arial"/>
          <w:b/>
        </w:rPr>
      </w:pPr>
    </w:p>
    <w:p w:rsidR="006F5864" w:rsidRPr="00647BE9" w:rsidRDefault="006F5864" w:rsidP="009276BB">
      <w:pPr>
        <w:pStyle w:val="Brezrazmikov"/>
        <w:rPr>
          <w:rFonts w:ascii="Arial" w:hAnsi="Arial" w:cs="Arial"/>
        </w:rPr>
      </w:pPr>
      <w:r w:rsidRPr="00647BE9">
        <w:rPr>
          <w:rFonts w:ascii="Arial" w:hAnsi="Arial" w:cs="Arial"/>
        </w:rPr>
        <w:t>Rok za izvedbo projekta: do 30. 9. 2014</w:t>
      </w:r>
    </w:p>
    <w:p w:rsidR="009276BB" w:rsidRPr="006F5864" w:rsidRDefault="009276BB" w:rsidP="009276BB">
      <w:pPr>
        <w:pStyle w:val="Brezrazmikov"/>
      </w:pPr>
    </w:p>
    <w:p w:rsidR="004C64B0" w:rsidRDefault="004C64B0" w:rsidP="00155CE4">
      <w:pPr>
        <w:spacing w:after="0" w:line="240" w:lineRule="auto"/>
        <w:jc w:val="both"/>
        <w:rPr>
          <w:rFonts w:ascii="Arial" w:hAnsi="Arial" w:cs="Arial"/>
        </w:rPr>
      </w:pPr>
    </w:p>
    <w:p w:rsidR="004C64B0" w:rsidRPr="004C64B0" w:rsidRDefault="004C64B0" w:rsidP="00155CE4">
      <w:pPr>
        <w:spacing w:after="0" w:line="240" w:lineRule="auto"/>
        <w:jc w:val="both"/>
        <w:rPr>
          <w:rFonts w:ascii="Arial" w:hAnsi="Arial" w:cs="Arial"/>
          <w:b/>
        </w:rPr>
      </w:pPr>
      <w:r w:rsidRPr="004C64B0">
        <w:rPr>
          <w:rFonts w:ascii="Arial" w:hAnsi="Arial" w:cs="Arial"/>
          <w:b/>
        </w:rPr>
        <w:t>Kontakt</w:t>
      </w:r>
    </w:p>
    <w:p w:rsidR="004C64B0" w:rsidRDefault="004C64B0" w:rsidP="00155CE4">
      <w:pPr>
        <w:spacing w:after="0" w:line="240" w:lineRule="auto"/>
        <w:jc w:val="both"/>
        <w:rPr>
          <w:rFonts w:ascii="Arial" w:hAnsi="Arial" w:cs="Arial"/>
        </w:rPr>
      </w:pPr>
    </w:p>
    <w:p w:rsidR="004C64B0" w:rsidRDefault="004C64B0" w:rsidP="00155C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Univerza v Ljubljani</w:t>
      </w:r>
    </w:p>
    <w:p w:rsidR="004C64B0" w:rsidRDefault="004C64B0" w:rsidP="00155C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Kongresni trg 12</w:t>
      </w:r>
    </w:p>
    <w:p w:rsidR="004C64B0" w:rsidRDefault="004C64B0" w:rsidP="00155CE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1000 Ljubljana</w:t>
      </w:r>
    </w:p>
    <w:p w:rsidR="004C64B0" w:rsidRDefault="004C64B0" w:rsidP="00155CE4">
      <w:pPr>
        <w:spacing w:after="0" w:line="240" w:lineRule="auto"/>
        <w:jc w:val="both"/>
        <w:rPr>
          <w:rFonts w:ascii="Arial" w:hAnsi="Arial" w:cs="Arial"/>
        </w:rPr>
      </w:pPr>
    </w:p>
    <w:p w:rsidR="004C64B0" w:rsidRPr="00806F05" w:rsidRDefault="004C64B0" w:rsidP="00155CE4">
      <w:pPr>
        <w:spacing w:after="0" w:line="240" w:lineRule="auto"/>
        <w:jc w:val="both"/>
        <w:rPr>
          <w:rFonts w:ascii="Arial" w:hAnsi="Arial" w:cs="Arial"/>
        </w:rPr>
      </w:pPr>
      <w:r w:rsidRPr="00806F05">
        <w:rPr>
          <w:rFonts w:ascii="Arial" w:hAnsi="Arial" w:cs="Arial"/>
        </w:rPr>
        <w:t>tel.: 01 241 85 00</w:t>
      </w:r>
    </w:p>
    <w:p w:rsidR="004C64B0" w:rsidRDefault="004C64B0" w:rsidP="00155CE4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806F05">
        <w:rPr>
          <w:rFonts w:ascii="Arial" w:hAnsi="Arial" w:cs="Arial"/>
        </w:rPr>
        <w:t>fax</w:t>
      </w:r>
      <w:proofErr w:type="spellEnd"/>
      <w:r w:rsidRPr="00806F05">
        <w:rPr>
          <w:rFonts w:ascii="Arial" w:hAnsi="Arial" w:cs="Arial"/>
        </w:rPr>
        <w:t>.: 01 241 86 60</w:t>
      </w:r>
    </w:p>
    <w:p w:rsidR="004C64B0" w:rsidRDefault="002B0FA4" w:rsidP="00155CE4">
      <w:pPr>
        <w:spacing w:after="0" w:line="240" w:lineRule="auto"/>
        <w:jc w:val="both"/>
        <w:rPr>
          <w:rFonts w:ascii="Arial" w:hAnsi="Arial" w:cs="Arial"/>
        </w:rPr>
      </w:pPr>
      <w:hyperlink r:id="rId9" w:history="1">
        <w:r w:rsidR="004C64B0" w:rsidRPr="00F1021F">
          <w:rPr>
            <w:rStyle w:val="Hiperpovezava"/>
            <w:rFonts w:ascii="Arial" w:hAnsi="Arial" w:cs="Arial"/>
          </w:rPr>
          <w:t>rektorat@uni-lj.si</w:t>
        </w:r>
      </w:hyperlink>
    </w:p>
    <w:p w:rsidR="004C64B0" w:rsidRDefault="004C64B0" w:rsidP="00155CE4">
      <w:pPr>
        <w:spacing w:after="0" w:line="240" w:lineRule="auto"/>
        <w:jc w:val="both"/>
        <w:rPr>
          <w:rFonts w:ascii="Arial" w:hAnsi="Arial" w:cs="Arial"/>
        </w:rPr>
      </w:pPr>
      <w:r w:rsidRPr="004C64B0">
        <w:rPr>
          <w:rFonts w:ascii="Arial" w:hAnsi="Arial" w:cs="Arial"/>
        </w:rPr>
        <w:t xml:space="preserve"> </w:t>
      </w:r>
    </w:p>
    <w:p w:rsidR="004C64B0" w:rsidRPr="004C64B0" w:rsidRDefault="004C64B0" w:rsidP="00155CE4">
      <w:pPr>
        <w:spacing w:after="0" w:line="240" w:lineRule="auto"/>
        <w:jc w:val="both"/>
        <w:rPr>
          <w:rFonts w:ascii="Arial" w:hAnsi="Arial" w:cs="Arial"/>
        </w:rPr>
      </w:pPr>
    </w:p>
    <w:sectPr w:rsidR="004C64B0" w:rsidRPr="004C6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303B"/>
    <w:multiLevelType w:val="multilevel"/>
    <w:tmpl w:val="2644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E0170"/>
    <w:multiLevelType w:val="hybridMultilevel"/>
    <w:tmpl w:val="A97EEC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C1CDF"/>
    <w:multiLevelType w:val="hybridMultilevel"/>
    <w:tmpl w:val="98BE1E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281159"/>
    <w:multiLevelType w:val="multilevel"/>
    <w:tmpl w:val="7E82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F00171"/>
    <w:multiLevelType w:val="hybridMultilevel"/>
    <w:tmpl w:val="DB7A892A"/>
    <w:lvl w:ilvl="0" w:tplc="AEEE5AE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7E9BA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806D76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FADED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1490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A88A6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091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84239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AA0C3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CE4"/>
    <w:rsid w:val="00155CE4"/>
    <w:rsid w:val="0016205F"/>
    <w:rsid w:val="001F2DBB"/>
    <w:rsid w:val="00217D9E"/>
    <w:rsid w:val="002970DF"/>
    <w:rsid w:val="002B0FA4"/>
    <w:rsid w:val="0032337D"/>
    <w:rsid w:val="003A2C9F"/>
    <w:rsid w:val="003D1CC6"/>
    <w:rsid w:val="003E2FB1"/>
    <w:rsid w:val="004244A0"/>
    <w:rsid w:val="00467E95"/>
    <w:rsid w:val="00481E3A"/>
    <w:rsid w:val="004C64B0"/>
    <w:rsid w:val="0059182D"/>
    <w:rsid w:val="005A24D6"/>
    <w:rsid w:val="005C07FB"/>
    <w:rsid w:val="00647BE9"/>
    <w:rsid w:val="006C5416"/>
    <w:rsid w:val="006D1A13"/>
    <w:rsid w:val="006F5864"/>
    <w:rsid w:val="007121AB"/>
    <w:rsid w:val="007615F9"/>
    <w:rsid w:val="00802489"/>
    <w:rsid w:val="00806F05"/>
    <w:rsid w:val="008162E9"/>
    <w:rsid w:val="008E33C1"/>
    <w:rsid w:val="009276BB"/>
    <w:rsid w:val="00935ABB"/>
    <w:rsid w:val="009B3570"/>
    <w:rsid w:val="009B7FDB"/>
    <w:rsid w:val="00A80ABA"/>
    <w:rsid w:val="00A86521"/>
    <w:rsid w:val="00A904F9"/>
    <w:rsid w:val="00B60AED"/>
    <w:rsid w:val="00B635FE"/>
    <w:rsid w:val="00BB3531"/>
    <w:rsid w:val="00BD4669"/>
    <w:rsid w:val="00C166D7"/>
    <w:rsid w:val="00D0525D"/>
    <w:rsid w:val="00D33F97"/>
    <w:rsid w:val="00D34C85"/>
    <w:rsid w:val="00DD6A02"/>
    <w:rsid w:val="00EA4548"/>
    <w:rsid w:val="00EB4EDC"/>
    <w:rsid w:val="00EF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5CE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55CE4"/>
    <w:pPr>
      <w:ind w:left="720"/>
      <w:contextualSpacing/>
    </w:pPr>
  </w:style>
  <w:style w:type="table" w:styleId="Tabelamrea">
    <w:name w:val="Table Grid"/>
    <w:basedOn w:val="Navadnatabela"/>
    <w:uiPriority w:val="59"/>
    <w:rsid w:val="00424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5A24D6"/>
    <w:pPr>
      <w:widowControl w:val="0"/>
      <w:suppressAutoHyphens/>
      <w:spacing w:after="12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TelobesedilaZnak">
    <w:name w:val="Telo besedila Znak"/>
    <w:basedOn w:val="Privzetapisavaodstavka"/>
    <w:link w:val="Telobesedila"/>
    <w:rsid w:val="005A24D6"/>
    <w:rPr>
      <w:rFonts w:ascii="Arial" w:eastAsia="Times New Roman" w:hAnsi="Arial" w:cs="Arial"/>
      <w:szCs w:val="20"/>
      <w:lang w:eastAsia="zh-CN"/>
    </w:rPr>
  </w:style>
  <w:style w:type="character" w:styleId="Hiperpovezava">
    <w:name w:val="Hyperlink"/>
    <w:basedOn w:val="Privzetapisavaodstavka"/>
    <w:uiPriority w:val="99"/>
    <w:unhideWhenUsed/>
    <w:rsid w:val="004C64B0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A80ABA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6D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5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5CE4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155CE4"/>
    <w:pPr>
      <w:ind w:left="720"/>
      <w:contextualSpacing/>
    </w:pPr>
  </w:style>
  <w:style w:type="table" w:styleId="Tabelamrea">
    <w:name w:val="Table Grid"/>
    <w:basedOn w:val="Navadnatabela"/>
    <w:uiPriority w:val="59"/>
    <w:rsid w:val="004244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lobesedila">
    <w:name w:val="Body Text"/>
    <w:basedOn w:val="Navaden"/>
    <w:link w:val="TelobesedilaZnak"/>
    <w:rsid w:val="005A24D6"/>
    <w:pPr>
      <w:widowControl w:val="0"/>
      <w:suppressAutoHyphens/>
      <w:spacing w:after="12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TelobesedilaZnak">
    <w:name w:val="Telo besedila Znak"/>
    <w:basedOn w:val="Privzetapisavaodstavka"/>
    <w:link w:val="Telobesedila"/>
    <w:rsid w:val="005A24D6"/>
    <w:rPr>
      <w:rFonts w:ascii="Arial" w:eastAsia="Times New Roman" w:hAnsi="Arial" w:cs="Arial"/>
      <w:szCs w:val="20"/>
      <w:lang w:eastAsia="zh-CN"/>
    </w:rPr>
  </w:style>
  <w:style w:type="character" w:styleId="Hiperpovezava">
    <w:name w:val="Hyperlink"/>
    <w:basedOn w:val="Privzetapisavaodstavka"/>
    <w:uiPriority w:val="99"/>
    <w:unhideWhenUsed/>
    <w:rsid w:val="004C64B0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A80ABA"/>
    <w:pPr>
      <w:spacing w:after="0" w:line="240" w:lineRule="auto"/>
    </w:pPr>
  </w:style>
  <w:style w:type="paragraph" w:styleId="Navadensplet">
    <w:name w:val="Normal (Web)"/>
    <w:basedOn w:val="Navaden"/>
    <w:uiPriority w:val="99"/>
    <w:semiHidden/>
    <w:unhideWhenUsed/>
    <w:rsid w:val="006D1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32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81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39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ktorat@uni-lj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A110240B</Template>
  <TotalTime>0</TotalTime>
  <Pages>7</Pages>
  <Words>2044</Words>
  <Characters>11654</Characters>
  <Application>Microsoft Office Word</Application>
  <DocSecurity>4</DocSecurity>
  <Lines>97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13671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Ploštajner, Zlata</cp:lastModifiedBy>
  <cp:revision>2</cp:revision>
  <dcterms:created xsi:type="dcterms:W3CDTF">2014-05-05T14:05:00Z</dcterms:created>
  <dcterms:modified xsi:type="dcterms:W3CDTF">2014-05-05T14:05:00Z</dcterms:modified>
</cp:coreProperties>
</file>